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60" w:lineRule="exact"/>
        <w:rPr>
          <w:rFonts w:hint="eastAsia" w:ascii="仿宋_GB2312"/>
          <w:szCs w:val="21"/>
        </w:rPr>
      </w:pPr>
      <w:r>
        <w:rPr>
          <w:rFonts w:hint="eastAsia" w:ascii="仿宋_GB2312"/>
          <w:sz w:val="30"/>
          <w:szCs w:val="30"/>
        </w:rPr>
        <w:t xml:space="preserve">                     </w:t>
      </w:r>
    </w:p>
    <w:p>
      <w:pPr>
        <w:spacing w:line="590" w:lineRule="exact"/>
        <w:jc w:val="center"/>
        <w:rPr>
          <w:rFonts w:hint="eastAsia" w:ascii="方正小标宋简体" w:eastAsia="方正小标宋简体"/>
          <w:sz w:val="44"/>
        </w:rPr>
      </w:pPr>
      <w:bookmarkStart w:id="1" w:name="_GoBack"/>
      <w:bookmarkStart w:id="0" w:name="Matter"/>
      <w:r>
        <w:rPr>
          <w:rFonts w:hint="eastAsia" w:ascii="方正小标宋简体" w:eastAsia="方正小标宋简体"/>
          <w:sz w:val="44"/>
        </w:rPr>
        <w:t xml:space="preserve"> </w:t>
      </w:r>
      <w:r>
        <w:rPr>
          <w:rFonts w:hint="eastAsia" w:ascii="方正小标宋简体" w:eastAsia="方正小标宋简体"/>
          <w:sz w:val="44"/>
          <w:lang w:eastAsia="zh-CN"/>
        </w:rPr>
        <w:t>连州市药品（疫苗）安全</w:t>
      </w:r>
      <w:r>
        <w:rPr>
          <w:rFonts w:hint="eastAsia" w:ascii="方正小标宋简体" w:eastAsia="方正小标宋简体"/>
          <w:sz w:val="44"/>
        </w:rPr>
        <w:t>专家委员会</w:t>
      </w:r>
    </w:p>
    <w:p>
      <w:pPr>
        <w:spacing w:line="590" w:lineRule="exact"/>
        <w:jc w:val="center"/>
        <w:rPr>
          <w:rFonts w:hint="eastAsia" w:ascii="方正小标宋简体" w:eastAsia="方正小标宋简体"/>
          <w:sz w:val="44"/>
          <w:lang w:eastAsia="zh-CN"/>
        </w:rPr>
      </w:pPr>
      <w:r>
        <w:rPr>
          <w:rFonts w:hint="eastAsia" w:ascii="方正小标宋简体" w:eastAsia="方正小标宋简体"/>
          <w:sz w:val="44"/>
        </w:rPr>
        <w:t>工作制度</w:t>
      </w:r>
      <w:r>
        <w:rPr>
          <w:rFonts w:hint="eastAsia" w:ascii="方正小标宋简体" w:eastAsia="方正小标宋简体"/>
          <w:sz w:val="44"/>
          <w:lang w:eastAsia="zh-CN"/>
        </w:rPr>
        <w:t>（征求意见稿）</w:t>
      </w:r>
    </w:p>
    <w:p>
      <w:pPr>
        <w:spacing w:line="590" w:lineRule="exact"/>
        <w:rPr>
          <w:rFonts w:hint="eastAsia" w:ascii="仿宋" w:hAnsi="仿宋" w:cs="仿宋"/>
          <w:b/>
          <w:bCs/>
          <w:szCs w:val="32"/>
        </w:rPr>
      </w:pPr>
    </w:p>
    <w:p>
      <w:pPr>
        <w:ind w:firstLine="630" w:firstLineChars="196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第一章 总则</w:t>
      </w:r>
    </w:p>
    <w:p>
      <w:pPr>
        <w:ind w:firstLine="643" w:firstLineChars="200"/>
        <w:rPr>
          <w:rFonts w:hint="eastAsia" w:ascii="仿宋_GB2312" w:hAnsi="仿宋_GB2312" w:eastAsia="仿宋_GB2312" w:cs="仿宋_GB2312"/>
          <w:color w:val="0000FF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第一条 </w:t>
      </w:r>
      <w:r>
        <w:rPr>
          <w:rFonts w:hint="eastAsia" w:ascii="仿宋_GB2312" w:hAnsi="仿宋_GB2312" w:eastAsia="仿宋_GB2312" w:cs="仿宋_GB2312"/>
          <w:sz w:val="32"/>
          <w:szCs w:val="32"/>
        </w:rPr>
        <w:t>为建立完善药品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（疫苗）</w:t>
      </w:r>
      <w:r>
        <w:rPr>
          <w:rFonts w:hint="eastAsia" w:ascii="仿宋_GB2312" w:hAnsi="仿宋_GB2312" w:eastAsia="仿宋_GB2312" w:cs="仿宋_GB2312"/>
          <w:sz w:val="32"/>
          <w:szCs w:val="32"/>
        </w:rPr>
        <w:t>监管制度，进一步推进社会共治和科学监管，更好地发挥专家的决策咨询作用，根据《中华人民共和国药品管理法》《中华人民共和国疫苗管理法》等法律法规及有关规定，制定本制度。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第二条 </w:t>
      </w:r>
      <w:r>
        <w:rPr>
          <w:rFonts w:hint="eastAsia" w:ascii="仿宋_GB2312" w:hAnsi="仿宋_GB2312" w:eastAsia="仿宋_GB2312" w:cs="仿宋_GB2312"/>
          <w:sz w:val="32"/>
          <w:szCs w:val="32"/>
        </w:rPr>
        <w:t>本制度适用于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连州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市药品（疫苗）安全</w:t>
      </w:r>
      <w:r>
        <w:rPr>
          <w:rFonts w:hint="eastAsia" w:ascii="仿宋_GB2312" w:hAnsi="仿宋_GB2312" w:eastAsia="仿宋_GB2312" w:cs="仿宋_GB2312"/>
          <w:sz w:val="32"/>
          <w:szCs w:val="32"/>
        </w:rPr>
        <w:t>专家委员会的遴选、聘用、使用、调整、评价和综合管理等。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第三条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药品（疫苗）安全</w:t>
      </w:r>
      <w:r>
        <w:rPr>
          <w:rFonts w:hint="eastAsia" w:ascii="仿宋_GB2312" w:hAnsi="仿宋_GB2312" w:eastAsia="仿宋_GB2312" w:cs="仿宋_GB2312"/>
          <w:sz w:val="32"/>
          <w:szCs w:val="32"/>
        </w:rPr>
        <w:t>专家委员会主要承担对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药品（疫苗）</w:t>
      </w:r>
      <w:r>
        <w:rPr>
          <w:rFonts w:hint="eastAsia" w:ascii="仿宋_GB2312" w:hAnsi="仿宋_GB2312" w:eastAsia="仿宋_GB2312" w:cs="仿宋_GB2312"/>
          <w:sz w:val="32"/>
          <w:szCs w:val="32"/>
        </w:rPr>
        <w:t>领域监管工作的技术咨询、答疑解惑、政策建议，参与评估安全风险，协助科普宣传、信息发布等工作。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yellow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药品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（疫苗）安全</w:t>
      </w:r>
      <w:r>
        <w:rPr>
          <w:rFonts w:hint="eastAsia" w:ascii="仿宋_GB2312" w:hAnsi="仿宋_GB2312" w:eastAsia="仿宋_GB2312" w:cs="仿宋_GB2312"/>
          <w:sz w:val="32"/>
          <w:szCs w:val="32"/>
        </w:rPr>
        <w:t>专家委员会原则上设立委员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名，其中主任委员1名，副主任委员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名。</w:t>
      </w:r>
    </w:p>
    <w:p>
      <w:pPr>
        <w:numPr>
          <w:ilvl w:val="0"/>
          <w:numId w:val="0"/>
        </w:numPr>
        <w:spacing w:line="59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第四条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本制度所称委员是指经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市市场监督管理局</w:t>
      </w:r>
      <w:r>
        <w:rPr>
          <w:rFonts w:hint="eastAsia" w:ascii="仿宋_GB2312" w:hAnsi="仿宋_GB2312" w:eastAsia="仿宋_GB2312" w:cs="仿宋_GB2312"/>
          <w:sz w:val="32"/>
          <w:szCs w:val="32"/>
        </w:rPr>
        <w:t>选聘,以独立身份参加决策咨询,纳入专家委员会管理的人员。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第五条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专家委员会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下设办公室，设在市市场监管局（具体工作由药品监管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负责），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办公室主任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由市市场监管局分管药品监管工作的局领导担任，副主任由药品监管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股股长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担任。</w:t>
      </w:r>
    </w:p>
    <w:p>
      <w:pPr>
        <w:spacing w:line="59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第六条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专家委员会办公室</w:t>
      </w:r>
      <w:r>
        <w:rPr>
          <w:rFonts w:hint="eastAsia" w:ascii="仿宋_GB2312" w:hAnsi="仿宋_GB2312" w:eastAsia="仿宋_GB2312" w:cs="仿宋_GB2312"/>
          <w:sz w:val="32"/>
          <w:szCs w:val="32"/>
        </w:rPr>
        <w:t>的主要职责：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（一）承担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委员</w:t>
      </w:r>
      <w:r>
        <w:rPr>
          <w:rFonts w:hint="eastAsia" w:ascii="仿宋_GB2312" w:hAnsi="仿宋_GB2312" w:eastAsia="仿宋_GB2312" w:cs="仿宋_GB2312"/>
          <w:sz w:val="32"/>
          <w:szCs w:val="32"/>
        </w:rPr>
        <w:t>人选的邀请和预审工作；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（二）承担专家委员会工作计划、总结、报告、规划等文件的起草、审核、校对、印制、发送和归档等工作；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（三）协助召集相关会议，负责会议记录、整理和会议纪要起草工作，负责组织落实专家委员会有关议定事项；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（四）编发专家委员会工作简报，向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市市场监管</w:t>
      </w:r>
      <w:r>
        <w:rPr>
          <w:rFonts w:hint="eastAsia" w:ascii="仿宋_GB2312" w:hAnsi="仿宋_GB2312" w:eastAsia="仿宋_GB2312" w:cs="仿宋_GB2312"/>
          <w:sz w:val="32"/>
          <w:szCs w:val="32"/>
        </w:rPr>
        <w:t>局报告相关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工作情况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，反映专家委员的意见和建议；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（五）负责专家委员会有关建章立制工作；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（六）承担专家委员会其他日常工作和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市市场监管</w:t>
      </w:r>
      <w:r>
        <w:rPr>
          <w:rFonts w:hint="eastAsia" w:ascii="仿宋_GB2312" w:hAnsi="仿宋_GB2312" w:eastAsia="仿宋_GB2312" w:cs="仿宋_GB2312"/>
          <w:sz w:val="32"/>
          <w:szCs w:val="32"/>
        </w:rPr>
        <w:t>局交办的有关工作。</w:t>
      </w:r>
    </w:p>
    <w:p>
      <w:pPr>
        <w:spacing w:line="590" w:lineRule="exact"/>
        <w:ind w:firstLine="630" w:firstLineChars="196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第二章 权利与义务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第七条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委员</w:t>
      </w:r>
      <w:r>
        <w:rPr>
          <w:rFonts w:hint="eastAsia" w:ascii="仿宋_GB2312" w:hAnsi="仿宋_GB2312" w:eastAsia="仿宋_GB2312" w:cs="仿宋_GB2312"/>
          <w:sz w:val="32"/>
          <w:szCs w:val="32"/>
        </w:rPr>
        <w:t>享有以下权利：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sz w:val="32"/>
          <w:szCs w:val="32"/>
        </w:rPr>
        <w:t>参与相关工作的权利。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sz w:val="32"/>
          <w:szCs w:val="32"/>
        </w:rPr>
        <w:t>查阅有关资料的权利。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（三）</w:t>
      </w:r>
      <w:r>
        <w:rPr>
          <w:rFonts w:hint="eastAsia" w:ascii="仿宋_GB2312" w:hAnsi="仿宋_GB2312" w:eastAsia="仿宋_GB2312" w:cs="仿宋_GB2312"/>
          <w:sz w:val="32"/>
          <w:szCs w:val="32"/>
        </w:rPr>
        <w:t>独立发表个人意见与建议的权利。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（四）</w:t>
      </w:r>
      <w:r>
        <w:rPr>
          <w:rFonts w:hint="eastAsia" w:ascii="仿宋_GB2312" w:hAnsi="仿宋_GB2312" w:eastAsia="仿宋_GB2312" w:cs="仿宋_GB2312"/>
          <w:sz w:val="32"/>
          <w:szCs w:val="32"/>
        </w:rPr>
        <w:t>参加相关业务培训的权利。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（五）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本人提出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辞去委员</w:t>
      </w:r>
      <w:r>
        <w:rPr>
          <w:rFonts w:hint="eastAsia" w:ascii="仿宋_GB2312" w:hAnsi="仿宋_GB2312" w:eastAsia="仿宋_GB2312" w:cs="仿宋_GB2312"/>
          <w:sz w:val="32"/>
          <w:szCs w:val="32"/>
        </w:rPr>
        <w:t>的权利。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（六）</w:t>
      </w:r>
      <w:r>
        <w:rPr>
          <w:rFonts w:hint="eastAsia" w:ascii="仿宋_GB2312" w:hAnsi="仿宋_GB2312" w:eastAsia="仿宋_GB2312" w:cs="仿宋_GB2312"/>
          <w:sz w:val="32"/>
          <w:szCs w:val="32"/>
        </w:rPr>
        <w:t>法律、法规和规章规定的其他权利。</w:t>
      </w:r>
    </w:p>
    <w:p>
      <w:pPr>
        <w:spacing w:line="590" w:lineRule="exact"/>
        <w:ind w:firstLine="630" w:firstLineChars="196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第八条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委员</w:t>
      </w:r>
      <w:r>
        <w:rPr>
          <w:rFonts w:hint="eastAsia" w:ascii="仿宋_GB2312" w:hAnsi="仿宋_GB2312" w:eastAsia="仿宋_GB2312" w:cs="仿宋_GB2312"/>
          <w:sz w:val="32"/>
          <w:szCs w:val="32"/>
        </w:rPr>
        <w:t>应承担以下义务：</w:t>
      </w:r>
    </w:p>
    <w:p>
      <w:pPr>
        <w:spacing w:line="59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sz w:val="32"/>
          <w:szCs w:val="32"/>
        </w:rPr>
        <w:t>遵守国家有关法律、法规和相关工作管理规定。</w:t>
      </w:r>
    </w:p>
    <w:p>
      <w:pPr>
        <w:spacing w:line="59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sz w:val="32"/>
          <w:szCs w:val="32"/>
        </w:rPr>
        <w:t>确保相应工作时间。</w:t>
      </w:r>
    </w:p>
    <w:p>
      <w:pPr>
        <w:spacing w:line="59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（三）</w:t>
      </w:r>
      <w:r>
        <w:rPr>
          <w:rFonts w:hint="eastAsia" w:ascii="仿宋_GB2312" w:hAnsi="仿宋_GB2312" w:eastAsia="仿宋_GB2312" w:cs="仿宋_GB2312"/>
          <w:sz w:val="32"/>
          <w:szCs w:val="32"/>
        </w:rPr>
        <w:t>提供具体明确的专业意见和建议。</w:t>
      </w:r>
    </w:p>
    <w:p>
      <w:pPr>
        <w:spacing w:line="59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（四）</w:t>
      </w:r>
      <w:r>
        <w:rPr>
          <w:rFonts w:hint="eastAsia" w:ascii="仿宋_GB2312" w:hAnsi="仿宋_GB2312" w:eastAsia="仿宋_GB2312" w:cs="仿宋_GB2312"/>
          <w:sz w:val="32"/>
          <w:szCs w:val="32"/>
        </w:rPr>
        <w:t>严格遵守保密规定。</w:t>
      </w:r>
    </w:p>
    <w:p>
      <w:pPr>
        <w:spacing w:line="59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（五）</w:t>
      </w:r>
      <w:r>
        <w:rPr>
          <w:rFonts w:hint="eastAsia" w:ascii="仿宋_GB2312" w:hAnsi="仿宋_GB2312" w:eastAsia="仿宋_GB2312" w:cs="仿宋_GB2312"/>
          <w:sz w:val="32"/>
          <w:szCs w:val="32"/>
        </w:rPr>
        <w:t>应保证公平公正、无利益冲突。</w:t>
      </w:r>
    </w:p>
    <w:p>
      <w:pPr>
        <w:spacing w:line="59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（六）</w:t>
      </w:r>
      <w:r>
        <w:rPr>
          <w:rFonts w:hint="eastAsia" w:ascii="仿宋_GB2312" w:hAnsi="仿宋_GB2312" w:eastAsia="仿宋_GB2312" w:cs="仿宋_GB2312"/>
          <w:sz w:val="32"/>
          <w:szCs w:val="32"/>
        </w:rPr>
        <w:t>遇到与自己有利害关系的，应当主动提出回避。</w:t>
      </w:r>
    </w:p>
    <w:p>
      <w:pPr>
        <w:spacing w:line="59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（七）</w:t>
      </w:r>
      <w:r>
        <w:rPr>
          <w:rFonts w:hint="eastAsia" w:ascii="仿宋_GB2312" w:hAnsi="仿宋_GB2312" w:eastAsia="仿宋_GB2312" w:cs="仿宋_GB2312"/>
          <w:sz w:val="32"/>
          <w:szCs w:val="32"/>
        </w:rPr>
        <w:t>不得从事损害聘用单位形象。</w:t>
      </w:r>
    </w:p>
    <w:p>
      <w:pPr>
        <w:spacing w:line="590" w:lineRule="exact"/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（八）</w:t>
      </w:r>
      <w:r>
        <w:rPr>
          <w:rFonts w:hint="eastAsia" w:ascii="仿宋_GB2312" w:hAnsi="仿宋_GB2312" w:eastAsia="仿宋_GB2312" w:cs="仿宋_GB2312"/>
          <w:sz w:val="32"/>
          <w:szCs w:val="32"/>
        </w:rPr>
        <w:t>法律、法规和规章规定的其他义务。</w:t>
      </w:r>
    </w:p>
    <w:p>
      <w:pPr>
        <w:spacing w:line="590" w:lineRule="exact"/>
        <w:ind w:firstLine="630" w:firstLineChars="196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第三章 资格条件</w:t>
      </w:r>
    </w:p>
    <w:p>
      <w:pPr>
        <w:ind w:firstLine="643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第九条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委员应当具备以下资格条件：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sz w:val="32"/>
          <w:szCs w:val="32"/>
        </w:rPr>
        <w:t>政治条件:熟悉国家药品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（疫苗）</w:t>
      </w:r>
      <w:r>
        <w:rPr>
          <w:rFonts w:hint="eastAsia" w:ascii="仿宋_GB2312" w:hAnsi="仿宋_GB2312" w:eastAsia="仿宋_GB2312" w:cs="仿宋_GB2312"/>
          <w:sz w:val="32"/>
          <w:szCs w:val="32"/>
        </w:rPr>
        <w:t>监管有关方针和政策，熟悉药品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（疫苗）</w:t>
      </w:r>
      <w:r>
        <w:rPr>
          <w:rFonts w:hint="eastAsia" w:ascii="仿宋_GB2312" w:hAnsi="仿宋_GB2312" w:eastAsia="仿宋_GB2312" w:cs="仿宋_GB2312"/>
          <w:sz w:val="32"/>
          <w:szCs w:val="32"/>
        </w:rPr>
        <w:t>安全等相关法律、法规和技术标准。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sz w:val="32"/>
          <w:szCs w:val="32"/>
        </w:rPr>
        <w:t>沟通能力:有较强的沟通、交流能力和团队协作精神。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（三）</w:t>
      </w:r>
      <w:r>
        <w:rPr>
          <w:rFonts w:hint="eastAsia" w:ascii="仿宋_GB2312" w:hAnsi="仿宋_GB2312" w:eastAsia="仿宋_GB2312" w:cs="仿宋_GB2312"/>
          <w:sz w:val="32"/>
          <w:szCs w:val="32"/>
        </w:rPr>
        <w:t>技术条件:具有药学、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中药学、</w:t>
      </w:r>
      <w:r>
        <w:rPr>
          <w:rFonts w:hint="eastAsia" w:ascii="仿宋_GB2312" w:hAnsi="仿宋_GB2312" w:eastAsia="仿宋_GB2312" w:cs="仿宋_GB2312"/>
          <w:sz w:val="32"/>
          <w:szCs w:val="32"/>
        </w:rPr>
        <w:t>生物学、医学、化学、法学、社会学、管理学等相关学科的专业特长。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（四）</w:t>
      </w:r>
      <w:r>
        <w:rPr>
          <w:rFonts w:hint="eastAsia" w:ascii="仿宋_GB2312" w:hAnsi="仿宋_GB2312" w:eastAsia="仿宋_GB2312" w:cs="仿宋_GB2312"/>
          <w:sz w:val="32"/>
          <w:szCs w:val="32"/>
        </w:rPr>
        <w:t>年龄要求：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要求身体健康，年龄不限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（五）职称或职务要求：</w:t>
      </w:r>
      <w:r>
        <w:rPr>
          <w:rFonts w:hint="eastAsia" w:ascii="仿宋_GB2312" w:hAnsi="仿宋_GB2312" w:eastAsia="仿宋_GB2312" w:cs="仿宋_GB2312"/>
          <w:sz w:val="32"/>
          <w:szCs w:val="32"/>
        </w:rPr>
        <w:t>应具有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中级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以上</w:t>
      </w:r>
      <w:r>
        <w:rPr>
          <w:rFonts w:hint="eastAsia" w:ascii="仿宋_GB2312" w:hAnsi="仿宋_GB2312" w:eastAsia="仿宋_GB2312" w:cs="仿宋_GB2312"/>
          <w:sz w:val="32"/>
          <w:szCs w:val="32"/>
        </w:rPr>
        <w:t>职称、承担相应行政职务者或知名企业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、单位、医疗机构</w:t>
      </w:r>
      <w:r>
        <w:rPr>
          <w:rFonts w:hint="eastAsia" w:ascii="仿宋_GB2312" w:hAnsi="仿宋_GB2312" w:eastAsia="仿宋_GB2312" w:cs="仿宋_GB2312"/>
          <w:sz w:val="32"/>
          <w:szCs w:val="32"/>
        </w:rPr>
        <w:t>中具有较高行业影响力的高级管理人员或专业技术带头人，以及对药品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（疫苗）</w:t>
      </w:r>
      <w:r>
        <w:rPr>
          <w:rFonts w:hint="eastAsia" w:ascii="仿宋_GB2312" w:hAnsi="仿宋_GB2312" w:eastAsia="仿宋_GB2312" w:cs="仿宋_GB2312"/>
          <w:sz w:val="32"/>
          <w:szCs w:val="32"/>
        </w:rPr>
        <w:t>监管工作关注、热心、具有较高社会影响力的专业人士、知名人士。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（六）</w:t>
      </w:r>
      <w:r>
        <w:rPr>
          <w:rFonts w:hint="eastAsia" w:ascii="仿宋_GB2312" w:hAnsi="仿宋_GB2312" w:eastAsia="仿宋_GB2312" w:cs="仿宋_GB2312"/>
          <w:sz w:val="32"/>
          <w:szCs w:val="32"/>
        </w:rPr>
        <w:t>优先条件：具有较高学术地位和社会影响力的院士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国家级、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省级、</w:t>
      </w:r>
      <w:r>
        <w:rPr>
          <w:rFonts w:hint="eastAsia" w:ascii="仿宋_GB2312" w:hAnsi="仿宋_GB2312" w:eastAsia="仿宋_GB2312" w:cs="仿宋_GB2312"/>
          <w:sz w:val="32"/>
          <w:szCs w:val="32"/>
        </w:rPr>
        <w:t>市级有突出贡献的专家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享受国务院特殊津贴的专家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，省药监</w:t>
      </w:r>
      <w:r>
        <w:rPr>
          <w:rFonts w:hint="eastAsia" w:ascii="仿宋_GB2312" w:hAnsi="仿宋_GB2312" w:eastAsia="仿宋_GB2312" w:cs="仿宋_GB2312"/>
          <w:sz w:val="32"/>
          <w:szCs w:val="32"/>
        </w:rPr>
        <w:t>局已聘的专家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具有党代表、人大代表、政协委员身份者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优先聘任为专家委员。</w:t>
      </w:r>
    </w:p>
    <w:p>
      <w:pPr>
        <w:spacing w:line="590" w:lineRule="exact"/>
        <w:ind w:firstLine="630" w:firstLineChars="196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第四章 选聘与解聘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第十条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市市场监管</w:t>
      </w:r>
      <w:r>
        <w:rPr>
          <w:rFonts w:hint="eastAsia" w:ascii="仿宋_GB2312" w:hAnsi="仿宋_GB2312" w:eastAsia="仿宋_GB2312" w:cs="仿宋_GB2312"/>
          <w:sz w:val="32"/>
          <w:szCs w:val="32"/>
        </w:rPr>
        <w:t>局统一组织委员的遴选。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一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条 </w:t>
      </w:r>
      <w:r>
        <w:rPr>
          <w:rFonts w:hint="eastAsia" w:ascii="仿宋_GB2312" w:hAnsi="仿宋_GB2312" w:eastAsia="仿宋_GB2312" w:cs="仿宋_GB2312"/>
          <w:sz w:val="32"/>
          <w:szCs w:val="32"/>
        </w:rPr>
        <w:t>委员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遴选：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专家委员会办公室</w:t>
      </w:r>
      <w:r>
        <w:rPr>
          <w:rFonts w:hint="eastAsia" w:ascii="仿宋_GB2312" w:hAnsi="仿宋_GB2312" w:eastAsia="仿宋_GB2312" w:cs="仿宋_GB2312"/>
          <w:sz w:val="32"/>
          <w:szCs w:val="32"/>
        </w:rPr>
        <w:t>提名，下发专家遴选通知。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（二）拟遴选的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委员候选人</w:t>
      </w:r>
      <w:r>
        <w:rPr>
          <w:rFonts w:hint="eastAsia" w:ascii="仿宋_GB2312" w:hAnsi="仿宋_GB2312" w:eastAsia="仿宋_GB2312" w:cs="仿宋_GB2312"/>
          <w:sz w:val="32"/>
          <w:szCs w:val="32"/>
        </w:rPr>
        <w:t>提交以下资料：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1.个人简历、本人签署的申请书和承诺书;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2.学历学位证书、专业技术职称证书或者具有同等专业水平的证明材料;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3.证明本人身份的有效证件;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4.本人认为需要申请回避的信息;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5.其他材料。</w:t>
      </w:r>
    </w:p>
    <w:p>
      <w:pPr>
        <w:spacing w:line="240" w:lineRule="auto"/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委员的聘任：专家委员会办公室</w:t>
      </w:r>
      <w:r>
        <w:rPr>
          <w:rFonts w:hint="eastAsia" w:ascii="仿宋_GB2312" w:hAnsi="仿宋_GB2312" w:eastAsia="仿宋_GB2312" w:cs="仿宋_GB2312"/>
          <w:sz w:val="32"/>
          <w:szCs w:val="32"/>
        </w:rPr>
        <w:t>对申请人提交的申请材料、申报的评审专业和信用信息进行审核与复核, 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市市场监管</w:t>
      </w:r>
      <w:r>
        <w:rPr>
          <w:rFonts w:hint="eastAsia" w:ascii="仿宋_GB2312" w:hAnsi="仿宋_GB2312" w:eastAsia="仿宋_GB2312" w:cs="仿宋_GB2312"/>
          <w:sz w:val="32"/>
          <w:szCs w:val="32"/>
        </w:rPr>
        <w:t>局局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会议</w:t>
      </w:r>
      <w:r>
        <w:rPr>
          <w:rFonts w:hint="eastAsia" w:ascii="仿宋_GB2312" w:hAnsi="仿宋_GB2312" w:eastAsia="仿宋_GB2312" w:cs="仿宋_GB2312"/>
          <w:sz w:val="32"/>
          <w:szCs w:val="32"/>
        </w:rPr>
        <w:t>批准同意后，符合条件的选聘为委员,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由市市场监管局</w:t>
      </w:r>
      <w:r>
        <w:rPr>
          <w:rFonts w:hint="eastAsia" w:ascii="仿宋_GB2312" w:hAnsi="仿宋_GB2312" w:eastAsia="仿宋_GB2312" w:cs="仿宋_GB2312"/>
          <w:sz w:val="32"/>
          <w:szCs w:val="32"/>
        </w:rPr>
        <w:t>发布聘任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通知，通知委员所在单位、委员本人，并在市市场监管局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门户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网站</w:t>
      </w:r>
      <w:r>
        <w:rPr>
          <w:rFonts w:hint="eastAsia" w:ascii="仿宋_GB2312" w:hAnsi="仿宋_GB2312" w:eastAsia="仿宋_GB2312" w:cs="仿宋_GB2312"/>
          <w:sz w:val="32"/>
          <w:szCs w:val="32"/>
        </w:rPr>
        <w:t>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布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纳入</w:t>
      </w:r>
      <w:r>
        <w:rPr>
          <w:rFonts w:hint="eastAsia" w:ascii="仿宋_GB2312" w:hAnsi="仿宋_GB2312" w:eastAsia="仿宋_GB2312" w:cs="仿宋_GB2312"/>
          <w:sz w:val="32"/>
          <w:szCs w:val="32"/>
        </w:rPr>
        <w:t>专家委员会，任期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年，可以连聘连任。</w:t>
      </w:r>
    </w:p>
    <w:p>
      <w:pPr>
        <w:spacing w:line="240" w:lineRule="auto"/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（四）主任委员、副主任委员推选：</w:t>
      </w:r>
      <w:r>
        <w:rPr>
          <w:rFonts w:hint="eastAsia" w:ascii="仿宋_GB2312" w:hAnsi="仿宋_GB2312" w:eastAsia="仿宋_GB2312" w:cs="仿宋_GB2312"/>
          <w:sz w:val="32"/>
          <w:szCs w:val="32"/>
        </w:rPr>
        <w:t>主任委员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副主任委员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推选，经市市场监管局提名，专家委员会会议通过，由市市场监管局</w:t>
      </w:r>
      <w:r>
        <w:rPr>
          <w:rFonts w:hint="eastAsia" w:ascii="仿宋_GB2312" w:hAnsi="仿宋_GB2312" w:eastAsia="仿宋_GB2312" w:cs="仿宋_GB2312"/>
          <w:sz w:val="32"/>
          <w:szCs w:val="32"/>
        </w:rPr>
        <w:t>发布聘任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通知。</w:t>
      </w:r>
    </w:p>
    <w:p>
      <w:pPr>
        <w:spacing w:line="59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条 </w:t>
      </w:r>
      <w:r>
        <w:rPr>
          <w:rFonts w:hint="eastAsia" w:ascii="仿宋_GB2312" w:hAnsi="仿宋_GB2312" w:eastAsia="仿宋_GB2312" w:cs="仿宋_GB2312"/>
          <w:sz w:val="32"/>
          <w:szCs w:val="32"/>
        </w:rPr>
        <w:t>有以下情形的，可解聘其委员资格：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（一）连续两次无故不履行义务或严重违反本制度的；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违反国家法律、法规和本制度规定的；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因身体健康原因不能承担工作的；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因本人主客观因素无法正常履职的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影响正常履职的其他情形等。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条 </w:t>
      </w:r>
      <w:r>
        <w:rPr>
          <w:rFonts w:hint="eastAsia" w:ascii="仿宋_GB2312" w:hAnsi="仿宋_GB2312" w:eastAsia="仿宋_GB2312" w:cs="仿宋_GB2312"/>
          <w:sz w:val="32"/>
          <w:szCs w:val="32"/>
        </w:rPr>
        <w:t>委员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解聘应按以下程序：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专家委员会办公室</w:t>
      </w:r>
      <w:r>
        <w:rPr>
          <w:rFonts w:hint="eastAsia" w:ascii="仿宋_GB2312" w:hAnsi="仿宋_GB2312" w:eastAsia="仿宋_GB2312" w:cs="仿宋_GB2312"/>
          <w:sz w:val="32"/>
          <w:szCs w:val="32"/>
        </w:rPr>
        <w:t>提出建议解聘的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委员</w:t>
      </w:r>
      <w:r>
        <w:rPr>
          <w:rFonts w:hint="eastAsia" w:ascii="仿宋_GB2312" w:hAnsi="仿宋_GB2312" w:eastAsia="仿宋_GB2312" w:cs="仿宋_GB2312"/>
          <w:sz w:val="32"/>
          <w:szCs w:val="32"/>
        </w:rPr>
        <w:t>名单，并复核。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sz w:val="32"/>
          <w:szCs w:val="32"/>
        </w:rPr>
        <w:t>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专家委员会会议通过</w:t>
      </w:r>
      <w:r>
        <w:rPr>
          <w:rFonts w:hint="eastAsia" w:ascii="仿宋_GB2312" w:hAnsi="仿宋_GB2312" w:eastAsia="仿宋_GB2312" w:cs="仿宋_GB2312"/>
          <w:sz w:val="32"/>
          <w:szCs w:val="32"/>
        </w:rPr>
        <w:t>后，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由市市场监管局</w:t>
      </w:r>
      <w:r>
        <w:rPr>
          <w:rFonts w:hint="eastAsia" w:ascii="仿宋_GB2312" w:hAnsi="仿宋_GB2312" w:eastAsia="仿宋_GB2312" w:cs="仿宋_GB2312"/>
          <w:sz w:val="32"/>
          <w:szCs w:val="32"/>
        </w:rPr>
        <w:t>发布解聘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通知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并在市市场监管局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门户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网站</w:t>
      </w:r>
      <w:r>
        <w:rPr>
          <w:rFonts w:hint="eastAsia" w:ascii="仿宋_GB2312" w:hAnsi="仿宋_GB2312" w:eastAsia="仿宋_GB2312" w:cs="仿宋_GB2312"/>
          <w:sz w:val="32"/>
          <w:szCs w:val="32"/>
        </w:rPr>
        <w:t>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布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90" w:lineRule="exact"/>
        <w:ind w:firstLine="2878" w:firstLineChars="896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第五章 职责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四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条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药品（疫苗）</w:t>
      </w:r>
      <w:r>
        <w:rPr>
          <w:rFonts w:hint="eastAsia" w:ascii="仿宋_GB2312" w:hAnsi="仿宋_GB2312" w:eastAsia="仿宋_GB2312" w:cs="仿宋_GB2312"/>
          <w:sz w:val="32"/>
          <w:szCs w:val="32"/>
        </w:rPr>
        <w:t>安全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专家委员会的主要职责：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药品（疫苗）</w:t>
      </w:r>
      <w:r>
        <w:rPr>
          <w:rFonts w:hint="eastAsia" w:ascii="仿宋_GB2312" w:hAnsi="仿宋_GB2312" w:eastAsia="仿宋_GB2312" w:cs="仿宋_GB2312"/>
          <w:sz w:val="32"/>
          <w:szCs w:val="32"/>
        </w:rPr>
        <w:t>安全的监管工作提供决策咨询和技术支持；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（二）参加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市市场监管局</w:t>
      </w:r>
      <w:r>
        <w:rPr>
          <w:rFonts w:hint="eastAsia" w:ascii="仿宋_GB2312" w:hAnsi="仿宋_GB2312" w:eastAsia="仿宋_GB2312" w:cs="仿宋_GB2312"/>
          <w:sz w:val="32"/>
          <w:szCs w:val="32"/>
        </w:rPr>
        <w:t>局组织的有关问题、课题的调查研究活动；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药品（疫苗）</w:t>
      </w:r>
      <w:r>
        <w:rPr>
          <w:rFonts w:hint="eastAsia" w:ascii="仿宋_GB2312" w:hAnsi="仿宋_GB2312" w:eastAsia="仿宋_GB2312" w:cs="仿宋_GB2312"/>
          <w:sz w:val="32"/>
          <w:szCs w:val="32"/>
        </w:rPr>
        <w:t>安全风险监测与风险评估提出意见，对重大安全事件与突发事件处理等提供咨询意见和建议；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</w:rPr>
        <w:t>）参与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起草与疫苗安全有关的政策、法规和规范性文件；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</w:rPr>
        <w:t>）参加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市市场监管</w:t>
      </w:r>
      <w:r>
        <w:rPr>
          <w:rFonts w:hint="eastAsia" w:ascii="仿宋_GB2312" w:hAnsi="仿宋_GB2312" w:eastAsia="仿宋_GB2312" w:cs="仿宋_GB2312"/>
          <w:sz w:val="32"/>
          <w:szCs w:val="32"/>
        </w:rPr>
        <w:t>局组织的新闻媒体交流和新闻发布活动，协助进行科普宣传和信息发布；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六</w:t>
      </w:r>
      <w:r>
        <w:rPr>
          <w:rFonts w:hint="eastAsia" w:ascii="仿宋_GB2312" w:hAnsi="仿宋_GB2312" w:eastAsia="仿宋_GB2312" w:cs="仿宋_GB2312"/>
          <w:sz w:val="32"/>
          <w:szCs w:val="32"/>
        </w:rPr>
        <w:t>）主动掌握国内外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药品（疫苗）</w:t>
      </w:r>
      <w:r>
        <w:rPr>
          <w:rFonts w:hint="eastAsia" w:ascii="仿宋_GB2312" w:hAnsi="仿宋_GB2312" w:eastAsia="仿宋_GB2312" w:cs="仿宋_GB2312"/>
          <w:sz w:val="32"/>
          <w:szCs w:val="32"/>
        </w:rPr>
        <w:t>领域的最新动态，及时向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市市场监管局</w:t>
      </w:r>
      <w:r>
        <w:rPr>
          <w:rFonts w:hint="eastAsia" w:ascii="仿宋_GB2312" w:hAnsi="仿宋_GB2312" w:eastAsia="仿宋_GB2312" w:cs="仿宋_GB2312"/>
          <w:sz w:val="32"/>
          <w:szCs w:val="32"/>
        </w:rPr>
        <w:t>提供信息，提出工作建议；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七</w:t>
      </w:r>
      <w:r>
        <w:rPr>
          <w:rFonts w:hint="eastAsia" w:ascii="仿宋_GB2312" w:hAnsi="仿宋_GB2312" w:eastAsia="仿宋_GB2312" w:cs="仿宋_GB2312"/>
          <w:sz w:val="32"/>
          <w:szCs w:val="32"/>
        </w:rPr>
        <w:t>）承担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市市场监管</w:t>
      </w:r>
      <w:r>
        <w:rPr>
          <w:rFonts w:hint="eastAsia" w:ascii="仿宋_GB2312" w:hAnsi="仿宋_GB2312" w:eastAsia="仿宋_GB2312" w:cs="仿宋_GB2312"/>
          <w:sz w:val="32"/>
          <w:szCs w:val="32"/>
        </w:rPr>
        <w:t>局交办的其他工作。</w:t>
      </w:r>
    </w:p>
    <w:p>
      <w:pPr>
        <w:spacing w:line="590" w:lineRule="exact"/>
        <w:ind w:firstLine="630" w:firstLineChars="196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第六章 专家委员会的使用</w:t>
      </w:r>
    </w:p>
    <w:p>
      <w:pPr>
        <w:ind w:firstLine="630" w:firstLineChars="196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第十</w:t>
      </w:r>
      <w:r>
        <w:rPr>
          <w:rFonts w:hint="eastAsia" w:ascii="仿宋_GB2312" w:hAnsi="仿宋_GB2312" w:cs="仿宋_GB2312"/>
          <w:b/>
          <w:bCs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条 </w:t>
      </w:r>
      <w:r>
        <w:rPr>
          <w:rFonts w:hint="eastAsia" w:ascii="仿宋_GB2312" w:hAnsi="仿宋_GB2312" w:eastAsia="仿宋_GB2312" w:cs="仿宋_GB2312"/>
          <w:sz w:val="32"/>
          <w:szCs w:val="32"/>
        </w:rPr>
        <w:t>根据第十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药品（疫苗）</w:t>
      </w:r>
      <w:r>
        <w:rPr>
          <w:rFonts w:hint="eastAsia" w:ascii="仿宋_GB2312" w:hAnsi="仿宋_GB2312" w:eastAsia="仿宋_GB2312" w:cs="仿宋_GB2312"/>
          <w:sz w:val="32"/>
          <w:szCs w:val="32"/>
        </w:rPr>
        <w:t>安全专家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委员会的主要职责，当需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委员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参与工作时，由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专家委员会办公室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根据第六条的主要职责进行组织使用。</w:t>
      </w:r>
    </w:p>
    <w:p>
      <w:pPr>
        <w:ind w:firstLine="630" w:firstLineChars="196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十</w:t>
      </w:r>
      <w:r>
        <w:rPr>
          <w:rFonts w:hint="eastAsia" w:ascii="仿宋_GB2312" w:hAnsi="仿宋_GB2312" w:cs="仿宋_GB2312"/>
          <w:b/>
          <w:bCs/>
          <w:sz w:val="32"/>
          <w:szCs w:val="32"/>
          <w:lang w:eastAsia="zh-CN"/>
        </w:rPr>
        <w:t>六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专家委员会的使用以工作会议形式开展。工作会议包括专家委员全体会议、专家委员专题会议等形式。</w:t>
      </w:r>
    </w:p>
    <w:p>
      <w:pPr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专家委员全体会议、专家委员专题会议实行主任委员负责制，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专家委员会办公室</w:t>
      </w:r>
      <w:r>
        <w:rPr>
          <w:rFonts w:hint="eastAsia" w:ascii="仿宋_GB2312" w:hAnsi="仿宋_GB2312" w:eastAsia="仿宋_GB2312" w:cs="仿宋_GB2312"/>
          <w:sz w:val="32"/>
          <w:szCs w:val="32"/>
        </w:rPr>
        <w:t>安排专人协助主任委员开展工作。</w:t>
      </w:r>
    </w:p>
    <w:p>
      <w:pPr>
        <w:spacing w:line="59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十</w:t>
      </w:r>
      <w:r>
        <w:rPr>
          <w:rFonts w:hint="eastAsia" w:ascii="仿宋_GB2312" w:hAnsi="仿宋_GB2312" w:cs="仿宋_GB2312"/>
          <w:b/>
          <w:bCs/>
          <w:sz w:val="32"/>
          <w:szCs w:val="32"/>
          <w:lang w:eastAsia="zh-CN"/>
        </w:rPr>
        <w:t>七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条 </w:t>
      </w:r>
      <w:r>
        <w:rPr>
          <w:rFonts w:hint="eastAsia" w:ascii="仿宋_GB2312" w:hAnsi="仿宋_GB2312" w:eastAsia="仿宋_GB2312" w:cs="仿宋_GB2312"/>
          <w:sz w:val="32"/>
          <w:szCs w:val="32"/>
        </w:rPr>
        <w:t>专家委员会工作会议在做出有关决定时，原则上应协商一致。会议议定事项须经出席会议的2/3以上专家同意，方为通过。会议列席人员无表决权。</w:t>
      </w:r>
    </w:p>
    <w:p>
      <w:pPr>
        <w:spacing w:line="59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十</w:t>
      </w:r>
      <w:r>
        <w:rPr>
          <w:rFonts w:hint="eastAsia" w:ascii="仿宋_GB2312" w:hAnsi="仿宋_GB2312" w:cs="仿宋_GB2312"/>
          <w:b/>
          <w:bCs/>
          <w:sz w:val="32"/>
          <w:szCs w:val="32"/>
          <w:lang w:eastAsia="zh-CN"/>
        </w:rPr>
        <w:t>八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专家委员全体会议、专家委员专题会议须及时形成会议纪要并建立完整的档案。对出席会议的情况、表决情况、讨论情况等，须有可查实的、详细的、完整的记录。</w:t>
      </w:r>
    </w:p>
    <w:p>
      <w:pPr>
        <w:spacing w:line="59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第</w:t>
      </w:r>
      <w:r>
        <w:rPr>
          <w:rFonts w:hint="eastAsia" w:ascii="仿宋_GB2312" w:hAnsi="仿宋_GB2312" w:cs="仿宋_GB2312"/>
          <w:b/>
          <w:bCs/>
          <w:sz w:val="32"/>
          <w:szCs w:val="32"/>
          <w:lang w:eastAsia="zh-CN"/>
        </w:rPr>
        <w:t>十九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专家委员会需要行文盖章，由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连州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市市场监督管理局代章。</w:t>
      </w:r>
    </w:p>
    <w:p>
      <w:pPr>
        <w:spacing w:line="590" w:lineRule="exact"/>
        <w:ind w:firstLine="643" w:firstLineChars="200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第七章 </w:t>
      </w:r>
    </w:p>
    <w:p>
      <w:pPr>
        <w:spacing w:line="59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第二十条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本工作制度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经市市场监督管理局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局务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会议通过后</w:t>
      </w:r>
      <w:r>
        <w:rPr>
          <w:rFonts w:hint="eastAsia" w:ascii="仿宋_GB2312" w:hAnsi="仿宋_GB2312" w:eastAsia="仿宋_GB2312" w:cs="仿宋_GB2312"/>
          <w:sz w:val="32"/>
          <w:szCs w:val="32"/>
        </w:rPr>
        <w:t>自印发之日起施行，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有效期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5年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bookmarkEnd w:id="0"/>
    </w:p>
    <w:bookmarkEnd w:id="1"/>
    <w:p>
      <w:pPr>
        <w:rPr>
          <w:rFonts w:hint="eastAsia" w:ascii="仿宋_GB2312"/>
          <w:snapToGrid w:val="0"/>
          <w:kern w:val="0"/>
          <w:szCs w:val="32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中等线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="1701" w:h="340" w:hRule="exact" w:wrap="around" w:vAnchor="text" w:hAnchor="margin" w:xAlign="right" w:y="1"/>
      <w:wordWrap w:val="0"/>
      <w:ind w:right="480" w:rightChars="150"/>
      <w:jc w:val="right"/>
      <w:rPr>
        <w:rStyle w:val="10"/>
        <w:rFonts w:hint="eastAsia" w:ascii="宋体" w:hAnsi="宋体"/>
        <w:spacing w:val="40"/>
      </w:rPr>
    </w:pPr>
    <w:r>
      <w:rPr>
        <w:rStyle w:val="10"/>
        <w:rFonts w:hint="eastAsia" w:ascii="宋体" w:hAnsi="宋体"/>
        <w:spacing w:val="40"/>
        <w:sz w:val="28"/>
      </w:rPr>
      <w:t>—</w:t>
    </w:r>
    <w:r>
      <w:rPr>
        <w:rFonts w:ascii="宋体" w:hAnsi="宋体"/>
        <w:spacing w:val="40"/>
        <w:sz w:val="28"/>
      </w:rPr>
      <w:fldChar w:fldCharType="begin"/>
    </w:r>
    <w:r>
      <w:rPr>
        <w:rStyle w:val="10"/>
        <w:rFonts w:ascii="宋体" w:hAnsi="宋体"/>
        <w:spacing w:val="40"/>
        <w:sz w:val="28"/>
      </w:rPr>
      <w:instrText xml:space="preserve">PAGE  </w:instrText>
    </w:r>
    <w:r>
      <w:rPr>
        <w:rFonts w:ascii="宋体" w:hAnsi="宋体"/>
        <w:spacing w:val="40"/>
        <w:sz w:val="28"/>
      </w:rPr>
      <w:fldChar w:fldCharType="separate"/>
    </w:r>
    <w:r>
      <w:rPr>
        <w:rStyle w:val="10"/>
        <w:rFonts w:ascii="宋体" w:hAnsi="宋体"/>
        <w:spacing w:val="40"/>
        <w:sz w:val="28"/>
      </w:rPr>
      <w:t>3</w:t>
    </w:r>
    <w:r>
      <w:rPr>
        <w:rFonts w:ascii="宋体" w:hAnsi="宋体"/>
        <w:spacing w:val="40"/>
        <w:sz w:val="28"/>
      </w:rPr>
      <w:fldChar w:fldCharType="end"/>
    </w:r>
    <w:r>
      <w:rPr>
        <w:rStyle w:val="10"/>
        <w:rFonts w:hint="eastAsia" w:ascii="宋体" w:hAnsi="宋体"/>
        <w:spacing w:val="40"/>
        <w:sz w:val="28"/>
      </w:rPr>
      <w:t>—</w:t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="1701" w:h="340" w:hRule="exact" w:wrap="around" w:vAnchor="text" w:hAnchor="margin" w:y="1"/>
      <w:ind w:firstLine="360" w:firstLineChars="100"/>
      <w:rPr>
        <w:rStyle w:val="10"/>
        <w:rFonts w:hint="eastAsia"/>
        <w:spacing w:val="40"/>
      </w:rPr>
    </w:pPr>
    <w:r>
      <w:rPr>
        <w:rStyle w:val="10"/>
        <w:rFonts w:hint="eastAsia" w:eastAsia="方正中等线简体"/>
        <w:spacing w:val="40"/>
        <w:sz w:val="28"/>
      </w:rPr>
      <w:t>—</w:t>
    </w:r>
    <w:r>
      <w:rPr>
        <w:spacing w:val="40"/>
        <w:sz w:val="28"/>
      </w:rPr>
      <w:fldChar w:fldCharType="begin"/>
    </w:r>
    <w:r>
      <w:rPr>
        <w:rStyle w:val="10"/>
        <w:spacing w:val="40"/>
        <w:sz w:val="28"/>
      </w:rPr>
      <w:instrText xml:space="preserve">PAGE  </w:instrText>
    </w:r>
    <w:r>
      <w:rPr>
        <w:spacing w:val="40"/>
        <w:sz w:val="28"/>
      </w:rPr>
      <w:fldChar w:fldCharType="separate"/>
    </w:r>
    <w:r>
      <w:rPr>
        <w:rStyle w:val="10"/>
        <w:spacing w:val="40"/>
        <w:sz w:val="28"/>
      </w:rPr>
      <w:t>2</w:t>
    </w:r>
    <w:r>
      <w:rPr>
        <w:spacing w:val="40"/>
        <w:sz w:val="28"/>
      </w:rPr>
      <w:fldChar w:fldCharType="end"/>
    </w:r>
    <w:r>
      <w:rPr>
        <w:rStyle w:val="10"/>
        <w:rFonts w:hint="eastAsia" w:eastAsia="方正中等线简体"/>
        <w:spacing w:val="40"/>
        <w:sz w:val="28"/>
      </w:rPr>
      <w:t>—</w:t>
    </w:r>
  </w:p>
  <w:p>
    <w:pPr>
      <w:pStyle w:val="6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F5605C"/>
    <w:multiLevelType w:val="multilevel"/>
    <w:tmpl w:val="16F5605C"/>
    <w:lvl w:ilvl="0" w:tentative="0">
      <w:start w:val="1"/>
      <w:numFmt w:val="ideographDigital"/>
      <w:pStyle w:val="3"/>
      <w:lvlText w:val="（%1）"/>
      <w:lvlJc w:val="left"/>
      <w:pPr>
        <w:tabs>
          <w:tab w:val="left" w:pos="930"/>
        </w:tabs>
        <w:ind w:left="930" w:hanging="7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79DB1B2A"/>
    <w:multiLevelType w:val="multilevel"/>
    <w:tmpl w:val="79DB1B2A"/>
    <w:lvl w:ilvl="0" w:tentative="0">
      <w:start w:val="1"/>
      <w:numFmt w:val="decimal"/>
      <w:pStyle w:val="4"/>
      <w:lvlText w:val="%1.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7D434B06"/>
    <w:multiLevelType w:val="multilevel"/>
    <w:tmpl w:val="7D434B06"/>
    <w:lvl w:ilvl="0" w:tentative="0">
      <w:start w:val="1"/>
      <w:numFmt w:val="ideographDigital"/>
      <w:pStyle w:val="2"/>
      <w:lvlText w:val="%1.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7B88"/>
    <w:rsid w:val="001337B9"/>
    <w:rsid w:val="003B259C"/>
    <w:rsid w:val="005B7B88"/>
    <w:rsid w:val="00657BD1"/>
    <w:rsid w:val="00781DB8"/>
    <w:rsid w:val="00BC4F05"/>
    <w:rsid w:val="00DC0BD1"/>
    <w:rsid w:val="00E32C62"/>
    <w:rsid w:val="00E92B89"/>
    <w:rsid w:val="027D4D08"/>
    <w:rsid w:val="03763C50"/>
    <w:rsid w:val="110824FE"/>
    <w:rsid w:val="12004973"/>
    <w:rsid w:val="14CA0A00"/>
    <w:rsid w:val="16D73102"/>
    <w:rsid w:val="1D5A611F"/>
    <w:rsid w:val="1E142447"/>
    <w:rsid w:val="1EA85610"/>
    <w:rsid w:val="21276653"/>
    <w:rsid w:val="244D393B"/>
    <w:rsid w:val="2C927CF9"/>
    <w:rsid w:val="2F7F261D"/>
    <w:rsid w:val="30667965"/>
    <w:rsid w:val="31C87CDE"/>
    <w:rsid w:val="31CD649E"/>
    <w:rsid w:val="3B051A72"/>
    <w:rsid w:val="3E460305"/>
    <w:rsid w:val="40581C17"/>
    <w:rsid w:val="45456FBF"/>
    <w:rsid w:val="47035F39"/>
    <w:rsid w:val="4D937FE4"/>
    <w:rsid w:val="56292D8C"/>
    <w:rsid w:val="5E3B3018"/>
    <w:rsid w:val="66F12B7F"/>
    <w:rsid w:val="6BDC569D"/>
    <w:rsid w:val="71510128"/>
    <w:rsid w:val="7B9F6982"/>
    <w:rsid w:val="7C01785D"/>
    <w:rsid w:val="7F4D39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keepNext/>
      <w:keepLines/>
      <w:numPr>
        <w:ilvl w:val="0"/>
        <w:numId w:val="1"/>
      </w:numPr>
      <w:outlineLvl w:val="0"/>
    </w:pPr>
    <w:rPr>
      <w:rFonts w:ascii="Times New Roman" w:hAnsi="Times New Roman" w:eastAsia="黑体" w:cs="Times New Roman"/>
      <w:bCs/>
      <w:kern w:val="44"/>
      <w:sz w:val="30"/>
      <w:szCs w:val="44"/>
      <w:lang w:val="en-US" w:eastAsia="zh-CN" w:bidi="ar-SA"/>
    </w:rPr>
  </w:style>
  <w:style w:type="paragraph" w:styleId="3">
    <w:name w:val="heading 2"/>
    <w:next w:val="1"/>
    <w:unhideWhenUsed/>
    <w:qFormat/>
    <w:uiPriority w:val="0"/>
    <w:pPr>
      <w:keepNext/>
      <w:keepLines/>
      <w:numPr>
        <w:ilvl w:val="0"/>
        <w:numId w:val="2"/>
      </w:numPr>
      <w:ind w:left="0" w:firstLine="0"/>
      <w:outlineLvl w:val="1"/>
    </w:pPr>
    <w:rPr>
      <w:rFonts w:ascii="Arial" w:hAnsi="Arial" w:eastAsia="楷体_GB2312" w:cs="Times New Roman"/>
      <w:b/>
      <w:bCs/>
      <w:kern w:val="2"/>
      <w:sz w:val="32"/>
      <w:szCs w:val="32"/>
      <w:lang w:val="en-US" w:eastAsia="zh-CN" w:bidi="ar-SA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numPr>
        <w:ilvl w:val="0"/>
        <w:numId w:val="3"/>
      </w:numPr>
      <w:outlineLvl w:val="2"/>
    </w:pPr>
    <w:rPr>
      <w:rFonts w:ascii="Times New Roman" w:hAnsi="Times New Roman" w:cs="Times New Roman"/>
      <w:b/>
      <w:bCs/>
      <w:sz w:val="30"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qFormat/>
    <w:uiPriority w:val="0"/>
    <w:rPr>
      <w:sz w:val="18"/>
      <w:szCs w:val="18"/>
    </w:r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page number"/>
    <w:basedOn w:val="9"/>
    <w:qFormat/>
    <w:uiPriority w:val="0"/>
    <w:rPr>
      <w:rFonts w:ascii="Times New Roman" w:hAnsi="Times New Roman" w:eastAsia="宋体" w:cs="Times New Roman"/>
    </w:rPr>
  </w:style>
  <w:style w:type="paragraph" w:customStyle="1" w:styleId="11">
    <w:name w:val="主题词"/>
    <w:basedOn w:val="1"/>
    <w:qFormat/>
    <w:uiPriority w:val="0"/>
    <w:pPr>
      <w:spacing w:after="156" w:afterLines="50" w:line="600" w:lineRule="exact"/>
    </w:pPr>
    <w:rPr>
      <w:rFonts w:eastAsia="方正小标宋简体"/>
      <w:sz w:val="3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范世源</cp:lastModifiedBy>
  <dcterms:modified xsi:type="dcterms:W3CDTF">2021-09-03T02:22:04Z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